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_GB2312" w:eastAsia="黑体" w:cs="仿宋_GB2312"/>
          <w:color w:val="auto"/>
          <w:sz w:val="28"/>
          <w:szCs w:val="28"/>
        </w:rPr>
      </w:pPr>
      <w:r>
        <w:rPr>
          <w:rFonts w:hint="eastAsia" w:ascii="黑体" w:hAnsi="仿宋_GB2312" w:eastAsia="黑体" w:cs="仿宋_GB2312"/>
          <w:color w:val="auto"/>
          <w:sz w:val="28"/>
          <w:szCs w:val="28"/>
        </w:rPr>
        <w:t>附件1</w:t>
      </w:r>
    </w:p>
    <w:p>
      <w:pPr>
        <w:jc w:val="center"/>
        <w:rPr>
          <w:rFonts w:ascii="宋体" w:hAnsi="宋体" w:cs="仿宋_GB2312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color w:val="auto"/>
          <w:sz w:val="44"/>
          <w:szCs w:val="44"/>
        </w:rPr>
        <w:t>拍卖企业202</w:t>
      </w:r>
      <w:r>
        <w:rPr>
          <w:rFonts w:hint="eastAsia" w:ascii="宋体" w:hAnsi="宋体" w:cs="仿宋_GB2312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cs="仿宋_GB2312"/>
          <w:b/>
          <w:color w:val="auto"/>
          <w:sz w:val="44"/>
          <w:szCs w:val="44"/>
        </w:rPr>
        <w:t>年度综合情况表</w:t>
      </w:r>
    </w:p>
    <w:bookmarkEnd w:id="0"/>
    <w:p>
      <w:pPr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pacing w:val="-20"/>
          <w:sz w:val="24"/>
        </w:rPr>
        <w:t>企业名称（盖章）：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80"/>
        <w:gridCol w:w="29"/>
        <w:gridCol w:w="2045"/>
        <w:gridCol w:w="326"/>
        <w:gridCol w:w="373"/>
        <w:gridCol w:w="183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经营地址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法定代表人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注册资本（万元）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拍卖证书编号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联系人、联系电话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企业员工总数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其中：注册拍卖师人数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其中：具有拍卖从业资格人数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其中：其他专业技术人员数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其中：其他员工数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拍卖成交额（万元）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（一）按拍卖标的分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合计（万元）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（应与拍卖成交额相同）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（二）按委托拍卖分</w:t>
            </w: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合计（万元）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（应与拍卖成交额相同）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房地产拍卖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法院委托拍卖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土地使用权拍卖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政府机构委托拍卖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机动车拍卖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金融机构委托拍卖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农副产品拍卖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破产清算组委托拍卖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股权债权拍卖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个人委托拍卖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无形资产拍卖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其他机构委托拍卖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文物艺术品拍卖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网络拍卖（以上委托中有网络拍卖的，统计在网络拍卖中）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其他拍卖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拍卖场次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佣金总额（万元）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资产总计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负债合计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主营业务收入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主营业务利润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三项费用合计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营业利润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利润总额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应交税费</w:t>
            </w: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应付职工薪酬（工资总额）</w:t>
            </w:r>
          </w:p>
        </w:tc>
        <w:tc>
          <w:tcPr>
            <w:tcW w:w="20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</w:rPr>
              <w:t>企业网址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pacing w:val="-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WFiOWM3ODQzZGY1NTVjYmNjMDUxMmI2ZWU5N2UifQ=="/>
  </w:docVars>
  <w:rsids>
    <w:rsidRoot w:val="7779185E"/>
    <w:rsid w:val="777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hint="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2023-01-11T02:05:00Z</dcterms:created>
  <dc:creator>F.</dc:creator>
  <cp:lastModifiedBy>F.</cp:lastModifiedBy>
  <dcterms:modified xsi:type="dcterms:W3CDTF">2023-01-11T02:07:03Z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B353292E224644DEB16CC017116D23F7</vt:lpwstr>
  </property>
</Properties>
</file>